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2.png" ContentType="image/png"/>
  <Override PartName="/word/media/image1.png" ContentType="image/png"/>
  <Override PartName="/word/media/image4.jpeg" ContentType="image/jpeg"/>
  <Override PartName="/word/media/image3.png" ContentType="image/png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keepNext w:val="true"/>
        <w:widowControl w:val="false"/>
        <w:numPr>
          <w:ilvl w:val="0"/>
          <w:numId w:val="1"/>
        </w:numPr>
        <w:spacing w:before="240" w:after="60"/>
        <w:jc w:val="center"/>
        <w:outlineLvl w:val="1"/>
        <w:rPr>
          <w:rFonts w:ascii="Cambria" w:hAnsi="Cambria" w:eastAsia="Times New Roman" w:cs="Cambria"/>
          <w:b/>
          <w:b/>
          <w:bCs/>
          <w:i/>
          <w:i/>
          <w:iCs/>
          <w:sz w:val="40"/>
          <w:szCs w:val="40"/>
          <w:lang w:val="bg-BG"/>
        </w:rPr>
      </w:pPr>
      <w:r>
        <w:rPr>
          <w:rFonts w:eastAsia="Times New Roman" w:cs="Cambria" w:ascii="Cambria" w:hAnsi="Cambria"/>
          <w:b/>
          <w:bCs/>
          <w:i/>
          <w:iCs/>
          <w:sz w:val="40"/>
          <w:szCs w:val="40"/>
          <w:lang w:val="bg-BG"/>
        </w:rPr>
        <w:t>Химикотехнологичен и металургичен университет</w:t>
      </w:r>
    </w:p>
    <w:p>
      <w:pPr>
        <w:pStyle w:val="Normal"/>
        <w:keepNext w:val="true"/>
        <w:widowControl w:val="false"/>
        <w:numPr>
          <w:ilvl w:val="0"/>
          <w:numId w:val="1"/>
        </w:numPr>
        <w:spacing w:before="240" w:after="60"/>
        <w:jc w:val="center"/>
        <w:rPr>
          <w:rFonts w:ascii="Cambria" w:hAnsi="Cambria" w:eastAsia="Times New Roman" w:cs="Cambria"/>
          <w:b/>
          <w:b/>
          <w:bCs/>
          <w:i/>
          <w:i/>
          <w:iCs/>
          <w:sz w:val="36"/>
          <w:szCs w:val="36"/>
          <w:lang w:val="bg-BG"/>
        </w:rPr>
      </w:pPr>
      <w:r>
        <w:rPr>
          <w:rFonts w:eastAsia="Times New Roman" w:cs="Cambria" w:ascii="Cambria" w:hAnsi="Cambria"/>
          <w:b/>
          <w:bCs/>
          <w:i/>
          <w:iCs/>
          <w:sz w:val="36"/>
          <w:szCs w:val="36"/>
          <w:lang w:val="bg-BG"/>
        </w:rPr>
        <w:t>София</w:t>
      </w:r>
    </w:p>
    <w:p>
      <w:pPr>
        <w:pStyle w:val="Normal"/>
        <w:widowControl w:val="false"/>
        <w:numPr>
          <w:ilvl w:val="0"/>
          <w:numId w:val="1"/>
        </w:numPr>
        <w:jc w:val="center"/>
        <w:rPr>
          <w:rFonts w:ascii="Times New Roman CYR" w:hAnsi="Times New Roman CYR" w:eastAsia="Times New Roman" w:cs="Times New Roman CYR"/>
        </w:rPr>
      </w:pPr>
      <w:r>
        <w:rPr>
          <w:rFonts w:eastAsia="Times New Roman" w:cs="Times New Roman CYR" w:ascii="Times New Roman CYR" w:hAnsi="Times New Roman CYR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jc w:val="center"/>
        <w:rPr>
          <w:rFonts w:ascii="Arial CYR" w:hAnsi="Arial CYR" w:eastAsia="Times New Roman" w:cs="Arial CYR"/>
          <w:bCs/>
          <w:sz w:val="28"/>
          <w:szCs w:val="28"/>
          <w:lang w:val="bg-BG"/>
        </w:rPr>
      </w:pPr>
      <w:r>
        <w:rPr>
          <w:rFonts w:eastAsia="Times New Roman" w:cs="Arial CYR" w:ascii="Arial CYR" w:hAnsi="Arial CYR"/>
          <w:b/>
          <w:bCs/>
          <w:sz w:val="28"/>
          <w:szCs w:val="28"/>
          <w:lang w:val="bg-BG"/>
        </w:rPr>
        <w:t>Дисциплна:</w:t>
      </w:r>
      <w:r>
        <w:rPr>
          <w:rFonts w:eastAsia="Times New Roman" w:cs="Arial CYR" w:ascii="Arial CYR" w:hAnsi="Arial CYR"/>
          <w:bCs/>
          <w:sz w:val="28"/>
          <w:szCs w:val="28"/>
          <w:lang w:val="bg-BG"/>
        </w:rPr>
        <w:t>ОХМТ</w:t>
      </w:r>
    </w:p>
    <w:p>
      <w:pPr>
        <w:pStyle w:val="Normal"/>
        <w:widowControl w:val="false"/>
        <w:numPr>
          <w:ilvl w:val="0"/>
          <w:numId w:val="1"/>
        </w:numPr>
        <w:jc w:val="center"/>
        <w:rPr>
          <w:rFonts w:ascii="Times New Roman CYR" w:hAnsi="Times New Roman CYR" w:eastAsia="Times New Roman" w:cs="Times New Roman CYR"/>
          <w:b/>
          <w:b/>
          <w:lang w:val="bg-BG"/>
        </w:rPr>
      </w:pPr>
      <w:r>
        <w:rPr>
          <w:rFonts w:eastAsia="Times New Roman" w:cs="Times New Roman CYR" w:ascii="Times New Roman CYR" w:hAnsi="Times New Roman CYR"/>
          <w:b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0" w:after="0"/>
        <w:rPr>
          <w:rFonts w:ascii="Arial CYR" w:hAnsi="Arial CYR" w:eastAsia="Times New Roman" w:cs="Arial CYR"/>
          <w:b/>
          <w:b/>
          <w:bCs/>
          <w:sz w:val="24"/>
          <w:szCs w:val="24"/>
          <w:lang w:val="bg-BG"/>
        </w:rPr>
      </w:pPr>
      <w:r>
        <w:rPr>
          <w:rFonts w:eastAsia="Times New Roman" w:cs="Arial CYR" w:ascii="Arial CYR" w:hAnsi="Arial CYR"/>
          <w:b/>
          <w:bCs/>
          <w:sz w:val="24"/>
          <w:szCs w:val="24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24"/>
          <w:szCs w:val="24"/>
        </w:rPr>
      </w:pPr>
      <w:r>
        <w:rPr>
          <w:rFonts w:eastAsia="Times New Roman" w:cs="Times New Roman CYR" w:ascii="Times New Roman CYR" w:hAnsi="Times New Roman CYR"/>
          <w:sz w:val="24"/>
          <w:szCs w:val="24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24"/>
          <w:szCs w:val="24"/>
          <w:lang w:val="bg-BG"/>
        </w:rPr>
      </w:pPr>
      <w:r>
        <w:rPr>
          <w:rFonts w:eastAsia="Times New Roman" w:cs="Times New Roman CYR" w:ascii="Times New Roman CYR" w:hAnsi="Times New Roman CYR"/>
          <w:sz w:val="24"/>
          <w:szCs w:val="24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24"/>
          <w:szCs w:val="24"/>
          <w:lang w:val="bg-BG"/>
        </w:rPr>
      </w:pPr>
      <w:r>
        <w:rPr>
          <w:rFonts w:eastAsia="Times New Roman" w:cs="Times New Roman CYR" w:ascii="Times New Roman CYR" w:hAnsi="Times New Roman CYR"/>
          <w:sz w:val="24"/>
          <w:szCs w:val="24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jc w:val="center"/>
        <w:rPr>
          <w:rFonts w:ascii="Times New Roman CYR" w:hAnsi="Times New Roman CYR" w:eastAsia="Times New Roman" w:cs="Times New Roman CYR"/>
          <w:b/>
          <w:b/>
          <w:bCs/>
          <w:sz w:val="56"/>
          <w:szCs w:val="56"/>
          <w:lang w:val="bg-BG"/>
        </w:rPr>
      </w:pPr>
      <w:r>
        <w:rPr>
          <w:rFonts w:eastAsia="Times New Roman" w:cs="Times New Roman CYR" w:ascii="Times New Roman CYR" w:hAnsi="Times New Roman CYR"/>
          <w:b/>
          <w:bCs/>
          <w:sz w:val="96"/>
          <w:szCs w:val="96"/>
          <w:lang w:val="bg-BG"/>
        </w:rPr>
        <w:t xml:space="preserve"> </w:t>
      </w:r>
      <w:r>
        <w:rPr>
          <w:rFonts w:eastAsia="Times New Roman" w:cs="Times New Roman CYR" w:ascii="Times New Roman CYR" w:hAnsi="Times New Roman CYR"/>
          <w:b/>
          <w:bCs/>
          <w:sz w:val="96"/>
          <w:szCs w:val="96"/>
          <w:lang w:val="bg-BG"/>
        </w:rPr>
        <w:t>Реферат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jc w:val="center"/>
        <w:rPr>
          <w:rFonts w:ascii="Times New Roman CYR" w:hAnsi="Times New Roman CYR" w:eastAsia="Times New Roman" w:cs="Times New Roman CYR"/>
          <w:b/>
          <w:b/>
          <w:bCs/>
          <w:sz w:val="56"/>
          <w:szCs w:val="56"/>
          <w:lang w:val="bg-BG"/>
        </w:rPr>
      </w:pPr>
      <w:r>
        <w:rPr>
          <w:rFonts w:eastAsia="Times New Roman" w:cs="Times New Roman CYR" w:ascii="Times New Roman CYR" w:hAnsi="Times New Roman CYR"/>
          <w:b/>
          <w:bCs/>
          <w:sz w:val="56"/>
          <w:szCs w:val="5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jc w:val="center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 CYR" w:ascii="Times New Roman CYR" w:hAnsi="Times New Roman CYR"/>
          <w:b/>
          <w:bCs/>
          <w:sz w:val="40"/>
          <w:szCs w:val="40"/>
          <w:lang w:val="bg-BG"/>
        </w:rPr>
        <w:t>Тема:</w:t>
      </w:r>
      <w:r>
        <w:rPr>
          <w:rFonts w:eastAsia="Times New Roman" w:cs="Times New Roman CYR" w:ascii="Times New Roman CYR" w:hAnsi="Times New Roman CYR"/>
          <w:bCs/>
          <w:sz w:val="40"/>
          <w:szCs w:val="40"/>
          <w:lang w:val="bg-BG"/>
        </w:rPr>
        <w:t xml:space="preserve">Производство на </w:t>
      </w:r>
      <w:r>
        <w:rPr>
          <w:rFonts w:eastAsia="Times New Roman" w:cs="Times New Roman CYR" w:ascii="Times New Roman CYR" w:hAnsi="Times New Roman CYR"/>
          <w:bCs/>
          <w:sz w:val="40"/>
          <w:szCs w:val="40"/>
        </w:rPr>
        <w:t>HCl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jc w:val="center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 CYR" w:ascii="Times New Roman CYR" w:hAnsi="Times New Roman CYR"/>
          <w:sz w:val="40"/>
          <w:szCs w:val="40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jc w:val="center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 CYR" w:ascii="Times New Roman CYR" w:hAnsi="Times New Roman CYR"/>
          <w:sz w:val="40"/>
          <w:szCs w:val="40"/>
          <w:lang w:val="bg-BG"/>
        </w:rPr>
        <w:t xml:space="preserve"> </w:t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36"/>
          <w:szCs w:val="36"/>
          <w:lang w:val="bg-BG"/>
        </w:rPr>
      </w:pPr>
      <w:r>
        <w:rPr>
          <w:rFonts w:eastAsia="Times New Roman" w:cs="Times New Roman CYR" w:ascii="Times New Roman CYR" w:hAnsi="Times New Roman CYR"/>
          <w:sz w:val="36"/>
          <w:szCs w:val="36"/>
          <w:lang w:val="bg-BG"/>
        </w:rPr>
      </w:r>
    </w:p>
    <w:p>
      <w:pPr>
        <w:pStyle w:val="Normal"/>
        <w:widowControl w:val="false"/>
        <w:numPr>
          <w:ilvl w:val="0"/>
          <w:numId w:val="1"/>
        </w:numPr>
        <w:spacing w:lineRule="auto" w:line="240" w:before="100" w:after="100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 CYR" w:ascii="Times New Roman CYR" w:hAnsi="Times New Roman CYR"/>
          <w:b/>
          <w:bCs/>
          <w:sz w:val="40"/>
          <w:szCs w:val="40"/>
          <w:lang w:val="bg-BG"/>
        </w:rPr>
        <w:t>Изготвил:</w:t>
      </w:r>
    </w:p>
    <w:p>
      <w:pPr>
        <w:pStyle w:val="Normal"/>
        <w:widowControl w:val="false"/>
        <w:spacing w:lineRule="auto" w:line="240" w:before="100" w:after="100"/>
        <w:ind w:left="432" w:hanging="0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" w:ascii="Times New Roman" w:hAnsi="Times New Roman"/>
          <w:sz w:val="40"/>
          <w:szCs w:val="40"/>
          <w:lang w:val="bg-BG"/>
        </w:rPr>
        <w:t xml:space="preserve">           </w:t>
      </w:r>
    </w:p>
    <w:p>
      <w:pPr>
        <w:pStyle w:val="Normal"/>
        <w:widowControl w:val="false"/>
        <w:spacing w:lineRule="auto" w:line="240" w:before="100" w:after="100"/>
        <w:ind w:left="432" w:hanging="0"/>
        <w:rPr>
          <w:rFonts w:ascii="Times New Roman CYR" w:hAnsi="Times New Roman CYR" w:eastAsia="Times New Roman" w:cs="Times New Roman CYR"/>
          <w:sz w:val="40"/>
          <w:szCs w:val="40"/>
          <w:lang w:val="bg-BG"/>
        </w:rPr>
      </w:pPr>
      <w:r>
        <w:rPr>
          <w:rFonts w:eastAsia="Times New Roman" w:cs="Times New Roman CYR" w:ascii="Times New Roman CYR" w:hAnsi="Times New Roman CYR"/>
          <w:sz w:val="40"/>
          <w:szCs w:val="40"/>
          <w:lang w:val="bg-BG"/>
        </w:rPr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48"/>
          <w:szCs w:val="48"/>
          <w:lang w:val="bg-BG"/>
        </w:rPr>
      </w:pPr>
      <w:r>
        <w:rPr>
          <w:rFonts w:cs="Times New Roman" w:ascii="Times New Roman" w:hAnsi="Times New Roman"/>
          <w:b/>
          <w:sz w:val="48"/>
          <w:szCs w:val="48"/>
          <w:lang w:val="bg-BG"/>
        </w:rPr>
        <w:t>Солна киселина</w:t>
      </w:r>
    </w:p>
    <w:p>
      <w:pPr>
        <w:pStyle w:val="Normal"/>
        <w:jc w:val="center"/>
        <w:rPr>
          <w:rFonts w:ascii="Times New Roman" w:hAnsi="Times New Roman" w:cs="Times New Roman"/>
          <w:sz w:val="40"/>
          <w:szCs w:val="40"/>
          <w:lang w:val="bg-BG"/>
        </w:rPr>
      </w:pPr>
      <w:r>
        <w:rPr>
          <w:rFonts w:cs="Times New Roman" w:ascii="Times New Roman" w:hAnsi="Times New Roman"/>
          <w:sz w:val="40"/>
          <w:szCs w:val="40"/>
          <w:lang w:val="bg-BG"/>
        </w:rPr>
      </w:r>
    </w:p>
    <w:p>
      <w:pPr>
        <w:pStyle w:val="Normal"/>
        <w:rPr/>
      </w:pPr>
      <w:r>
        <w:rPr>
          <w:rFonts w:cs="Times New Roman" w:ascii="Times New Roman" w:hAnsi="Times New Roman"/>
          <w:bCs/>
          <w:sz w:val="36"/>
          <w:szCs w:val="36"/>
        </w:rPr>
        <w:t>Солната киселина</w:t>
      </w:r>
      <w:r>
        <w:rPr>
          <w:rFonts w:cs="Times New Roman" w:ascii="Times New Roman" w:hAnsi="Times New Roman"/>
          <w:sz w:val="36"/>
          <w:szCs w:val="36"/>
        </w:rPr>
        <w:t> (HCl) не е самостоятелно химично съединение. Тя е воден</w:t>
      </w:r>
      <w:hyperlink r:id="rId2" w:tgtFrame="Разтвор">
        <w:r>
          <w:rPr>
            <w:rStyle w:val="InternetLink"/>
            <w:rFonts w:cs="Times New Roman" w:ascii="Times New Roman" w:hAnsi="Times New Roman"/>
            <w:color w:val="auto"/>
            <w:sz w:val="36"/>
            <w:szCs w:val="36"/>
            <w:u w:val="none"/>
          </w:rPr>
          <w:t>разтвор</w:t>
        </w:r>
      </w:hyperlink>
      <w:r>
        <w:rPr>
          <w:rFonts w:cs="Times New Roman" w:ascii="Times New Roman" w:hAnsi="Times New Roman"/>
          <w:sz w:val="36"/>
          <w:szCs w:val="36"/>
        </w:rPr>
        <w:t> на </w:t>
      </w:r>
      <w:hyperlink r:id="rId3" w:tgtFrame="Хлороводород">
        <w:r>
          <w:rPr>
            <w:rStyle w:val="InternetLink"/>
            <w:rFonts w:cs="Times New Roman" w:ascii="Times New Roman" w:hAnsi="Times New Roman"/>
            <w:color w:val="auto"/>
            <w:sz w:val="36"/>
            <w:szCs w:val="36"/>
            <w:u w:val="none"/>
          </w:rPr>
          <w:t>хлороводород</w:t>
        </w:r>
      </w:hyperlink>
      <w:r>
        <w:rPr>
          <w:rFonts w:cs="Times New Roman" w:ascii="Times New Roman" w:hAnsi="Times New Roman"/>
          <w:sz w:val="36"/>
          <w:szCs w:val="36"/>
        </w:rPr>
        <w:t>.</w:t>
      </w:r>
      <w:r>
        <w:rPr>
          <w:rFonts w:cs="Arial" w:ascii="Arial" w:hAnsi="Arial"/>
          <w:color w:val="252525"/>
          <w:sz w:val="23"/>
        </w:rPr>
        <w:t xml:space="preserve"> </w:t>
      </w:r>
      <w:r>
        <w:rPr>
          <w:rFonts w:cs="Times New Roman" w:ascii="Times New Roman" w:hAnsi="Times New Roman"/>
          <w:sz w:val="36"/>
          <w:szCs w:val="36"/>
        </w:rPr>
        <w:t> По тази причина физичните свойства на киселината се променят с изменение на количеството на съдържащия се в разтвора </w:t>
      </w:r>
      <w:hyperlink r:id="rId4" w:tgtFrame="Хлороводород">
        <w:r>
          <w:rPr>
            <w:rStyle w:val="InternetLink"/>
            <w:rFonts w:cs="Times New Roman" w:ascii="Times New Roman" w:hAnsi="Times New Roman"/>
            <w:color w:val="auto"/>
            <w:sz w:val="36"/>
            <w:szCs w:val="36"/>
            <w:u w:val="none"/>
          </w:rPr>
          <w:t>хлороводород</w:t>
        </w:r>
      </w:hyperlink>
      <w:r>
        <w:rPr>
          <w:rFonts w:cs="Times New Roman" w:ascii="Times New Roman" w:hAnsi="Times New Roman"/>
          <w:sz w:val="36"/>
          <w:szCs w:val="36"/>
        </w:rPr>
        <w:t>.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Наситеният при 18</w:t>
      </w:r>
      <w:r>
        <w:rPr/>
        <w:t xml:space="preserve"> </w:t>
      </w:r>
      <w:r>
        <w:rPr>
          <w:rFonts w:cs="Times New Roman" w:ascii="Times New Roman" w:hAnsi="Times New Roman"/>
          <w:sz w:val="36"/>
          <w:szCs w:val="36"/>
          <w:lang w:val="bg-BG"/>
        </w:rPr>
        <w:t>°C разтвор на хлороводород съдържа 42% НС</w:t>
      </w:r>
      <w:r>
        <w:rPr>
          <w:rFonts w:cs="Times New Roman" w:ascii="Times New Roman" w:hAnsi="Times New Roman"/>
          <w:sz w:val="36"/>
          <w:szCs w:val="36"/>
        </w:rPr>
        <w:t>l.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 Обикновената концентрирана солна киселина съдържа около 37%НС</w:t>
      </w:r>
      <w:r>
        <w:rPr>
          <w:rFonts w:cs="Times New Roman" w:ascii="Times New Roman" w:hAnsi="Times New Roman"/>
          <w:sz w:val="36"/>
          <w:szCs w:val="36"/>
        </w:rPr>
        <w:t>l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 и е с плътност 1,19</w:t>
      </w:r>
      <w:r>
        <w:rPr/>
        <w:t xml:space="preserve"> </w:t>
      </w:r>
      <w:r>
        <w:rPr>
          <w:rFonts w:cs="Times New Roman" w:ascii="Times New Roman" w:hAnsi="Times New Roman"/>
          <w:sz w:val="36"/>
          <w:szCs w:val="36"/>
        </w:rPr>
        <w:t>g·cm</w:t>
      </w:r>
      <w:r>
        <w:rPr>
          <w:rFonts w:cs="Times New Roman" w:ascii="Times New Roman" w:hAnsi="Times New Roman"/>
          <w:sz w:val="36"/>
          <w:szCs w:val="36"/>
          <w:vertAlign w:val="superscript"/>
        </w:rPr>
        <w:t xml:space="preserve">−3 </w:t>
      </w:r>
      <w:r>
        <w:rPr>
          <w:rFonts w:cs="Times New Roman" w:ascii="Times New Roman" w:hAnsi="Times New Roman"/>
          <w:sz w:val="36"/>
          <w:szCs w:val="36"/>
        </w:rPr>
        <w:t xml:space="preserve">. 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На въздуха тя дими, поради отделяне на хлороводород и се нарича димяща солна киселина. Техническата солна киселина е оцветена в жълто от примеси (главно железен хлорид). Чистата солна киселина е безцветна течност с остра миризма на хлороводород. Тя е типична силна киселина. Лесно реагира с моного метали, като образува солихлориди. При нагряване концентрираната солна киселина отделя хлороводород, което се дължи на факта, че при повишена температура разтворимостта на хлороводорода във вода намалява. При температура -22°C от солната киселина се отделят кристали със състав </w:t>
      </w:r>
      <w:r>
        <w:rPr>
          <w:rFonts w:cs="Times New Roman" w:ascii="Times New Roman" w:hAnsi="Times New Roman"/>
          <w:sz w:val="36"/>
          <w:szCs w:val="36"/>
        </w:rPr>
        <w:t>HCl.2H</w:t>
      </w:r>
      <w:r>
        <w:rPr>
          <w:rFonts w:cs="Times New Roman" w:ascii="Times New Roman" w:hAnsi="Times New Roman"/>
          <w:sz w:val="36"/>
          <w:szCs w:val="36"/>
          <w:vertAlign w:val="subscript"/>
        </w:rPr>
        <w:t>2</w:t>
      </w:r>
      <w:r>
        <w:rPr>
          <w:rFonts w:cs="Times New Roman" w:ascii="Times New Roman" w:hAnsi="Times New Roman"/>
          <w:sz w:val="36"/>
          <w:szCs w:val="36"/>
        </w:rPr>
        <w:t>O</w:t>
      </w:r>
      <w:r>
        <w:rPr>
          <w:rFonts w:cs="Times New Roman" w:ascii="Times New Roman" w:hAnsi="Times New Roman"/>
          <w:sz w:val="36"/>
          <w:szCs w:val="36"/>
          <w:lang w:val="bg-BG"/>
        </w:rPr>
        <w:t>, които при -18°C се разпадат. При нагряване на разредена солна киселина първоначално от нея дестилира вода и тя се концентрира. Когато концентрацията на разтвора достигне до 20,2%, при температура 110°C започва да дестилира смес от хлороводород  и вода със същия състав, какъвто е състава на нагряваната солна киселина. Обратно, при нагряване на концентрирана солна киселина отначало се отделя хлороводород, но когато концентрацията на разтвора достигне 20,2%, при 1100°C започва да дестилира смес със същия състав. От това следва, че чрез дестилация е невъзможно разделянето на хлороводорода от водата и че 20,2%ната солна киселина се употребява за получаване на метални хлориди, амониев хлорид, въглеродна киселина, редица органични препарати, в кожарството, при калайдисване и спояване на метали и в много други производства. В природата се среща във вулканичните газоеве. Участва в състава на стомашните сокове на бозайниците.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6"/>
          <w:szCs w:val="36"/>
          <w:lang w:val="bg-BG"/>
        </w:rPr>
      </w:pPr>
      <w:r>
        <w:rPr>
          <w:rFonts w:cs="Times New Roman" w:ascii="Times New Roman" w:hAnsi="Times New Roman"/>
          <w:b/>
          <w:sz w:val="36"/>
          <w:szCs w:val="36"/>
          <w:lang w:val="bg-BG"/>
        </w:rPr>
        <w:t>Техническо получаване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 xml:space="preserve">При производство на натриев сулфат от готварска сол и сярна киселина се отделя хлороводород, който в миналото се е считал за отпадък: 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  <w:lang w:val="bg-BG"/>
        </w:rPr>
      </w:pPr>
      <w:r>
        <w:rPr/>
        <w:drawing>
          <wp:inline distT="0" distB="0" distL="0" distR="0">
            <wp:extent cx="3340735" cy="297180"/>
            <wp:effectExtent l="0" t="0" r="0" b="0"/>
            <wp:docPr id="1" name="Picture 1" descr=" \mathrm{ NaCl+H_2SO_4 \rightarrow NaHSO_4+HCl \uparrow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 \mathrm{ NaCl+H_2SO_4 \rightarrow NaHSO_4+HCl \uparrow }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735" cy="297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 xml:space="preserve">От 1827г. започват да разтварят отпадъчния </w:t>
      </w:r>
      <w:r>
        <w:rPr>
          <w:rFonts w:cs="Times New Roman" w:ascii="Times New Roman" w:hAnsi="Times New Roman"/>
          <w:sz w:val="36"/>
          <w:szCs w:val="36"/>
        </w:rPr>
        <w:t>HCl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(газ) за получаване на солна киселина. Работи се в муфелни и пламъчни механични пещи или във въртящи се пещи, нагрявани с нискокачествено течно гориво или генераторен газ. Днес този метод има ограничено значение. 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 xml:space="preserve">След Първата световна война започва синтетично получаване на </w:t>
      </w:r>
      <w:r>
        <w:rPr>
          <w:rFonts w:cs="Times New Roman" w:ascii="Times New Roman" w:hAnsi="Times New Roman"/>
          <w:sz w:val="36"/>
          <w:szCs w:val="36"/>
        </w:rPr>
        <w:t>HCl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 при изгаряне на Н</w:t>
      </w:r>
      <w:r>
        <w:rPr>
          <w:rFonts w:cs="Times New Roman" w:ascii="Times New Roman" w:hAnsi="Times New Roman"/>
          <w:sz w:val="36"/>
          <w:szCs w:val="36"/>
          <w:vertAlign w:val="subscript"/>
          <w:lang w:val="bg-BG"/>
        </w:rPr>
        <w:t>2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 и </w:t>
      </w:r>
      <w:r>
        <w:rPr>
          <w:rFonts w:cs="Times New Roman" w:ascii="Times New Roman" w:hAnsi="Times New Roman"/>
          <w:sz w:val="36"/>
          <w:szCs w:val="36"/>
        </w:rPr>
        <w:t>Cl</w:t>
      </w:r>
      <w:r>
        <w:rPr>
          <w:rFonts w:cs="Times New Roman" w:ascii="Times New Roman" w:hAnsi="Times New Roman"/>
          <w:sz w:val="36"/>
          <w:szCs w:val="36"/>
          <w:vertAlign w:val="subscript"/>
          <w:lang w:val="bg-BG"/>
        </w:rPr>
        <w:t xml:space="preserve">2 </w:t>
      </w:r>
      <w:r>
        <w:rPr>
          <w:rFonts w:cs="Times New Roman" w:ascii="Times New Roman" w:hAnsi="Times New Roman"/>
          <w:sz w:val="36"/>
          <w:szCs w:val="36"/>
          <w:lang w:val="bg-BG"/>
        </w:rPr>
        <w:t xml:space="preserve">в кварцови, метални или графитови пещи. 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  <w:lang w:val="bg-BG"/>
        </w:rPr>
      </w:pPr>
      <w:r>
        <w:rPr/>
        <w:drawing>
          <wp:inline distT="0" distB="0" distL="0" distR="0">
            <wp:extent cx="1958975" cy="340360"/>
            <wp:effectExtent l="0" t="0" r="0" b="0"/>
            <wp:docPr id="2" name="Picture 4" descr=" \mathrm{ H_2+Cl_2 \rightarrow 2HCl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4" descr=" \mathrm{ H_2+Cl_2 \rightarrow 2HCl }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8975" cy="340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 xml:space="preserve">Водородът и хлорът се получават евтино и в големи количества при хлор-алкалната електролиза. Полученият хлороводород се поглъща от водата(при отделяне на голямо количество топлина) по метода на адиабатната абсорбция в кули с пълнеж или тарелкова колона, в която се получава стандартна концентарция 27,5%-на солна киселина, а когато се използва топлината от реакцията на поглъщане, се получава още по-концентрирана – 31%-на киселина. 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Алтернативен метод е реакцията на готварска сол със серен диоксид:</w:t>
      </w:r>
    </w:p>
    <w:p>
      <w:pPr>
        <w:pStyle w:val="Normal"/>
        <w:jc w:val="center"/>
        <w:rPr>
          <w:rFonts w:ascii="Times New Roman" w:hAnsi="Times New Roman" w:cs="Times New Roman"/>
          <w:sz w:val="36"/>
          <w:szCs w:val="36"/>
          <w:lang w:val="bg-BG"/>
        </w:rPr>
      </w:pPr>
      <w:r>
        <w:rPr/>
        <w:drawing>
          <wp:inline distT="0" distB="0" distL="0" distR="0">
            <wp:extent cx="4276725" cy="318770"/>
            <wp:effectExtent l="0" t="0" r="0" b="0"/>
            <wp:docPr id="3" name="Picture 7" descr=" \mathrm{ 4NaCl+2SO_2 + O_2 + 2H_2O \rightarrow 2Na_2SO_4+4HCl 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7" descr=" \mathrm{ 4NaCl+2SO_2 + O_2 + 2H_2O \rightarrow 2Na_2SO_4+4HCl }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31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Солната киселина се съхранява в стъклени бутилки и гумирани цистерни. Транспортира се в стоманени цистерни, като към нея се прибавят инхибитори, които намаляват до 200пъти разтворимостта на стоманата в солна киселина.</w:t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36"/>
          <w:szCs w:val="36"/>
          <w:lang w:val="bg-BG"/>
        </w:rPr>
      </w:pPr>
      <w:r>
        <w:rPr>
          <w:rFonts w:cs="Times New Roman" w:ascii="Times New Roman" w:hAnsi="Times New Roman"/>
          <w:b/>
          <w:sz w:val="36"/>
          <w:szCs w:val="36"/>
          <w:lang w:val="bg-BG"/>
        </w:rPr>
        <w:t>Употреба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В индустрията се използва в големи количества за ецване (разтваряне на оксидната покривка или ръжда на желязото). Служи за подкисляване на електролита при хлоралкалната електролиза. Служи за получаване на хлор, хлорирани органични съединения (PVC), хлориди и др. Използва се в нефтодобивната (разтваряне на варовик), хранително-вкусовата (Е507) и др. промишлености. Някои лекарства се приемат под формата на своите водноразтворими соли (хидрохлориди-Morphin hydrochloridum).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В лабораторната практика е един от най-често използваните реактиви, за титруване в количествения анализ, подкисляване, разтваряне на проби, утаяване в качествения анализ и др.</w:t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rPr>
          <w:rFonts w:ascii="Times New Roman" w:hAnsi="Times New Roman" w:cs="Times New Roman"/>
          <w:sz w:val="36"/>
          <w:szCs w:val="36"/>
          <w:lang w:val="bg-BG"/>
        </w:rPr>
      </w:pPr>
      <w:r>
        <w:rPr>
          <w:rFonts w:cs="Times New Roman" w:ascii="Times New Roman" w:hAnsi="Times New Roman"/>
          <w:sz w:val="36"/>
          <w:szCs w:val="36"/>
          <w:lang w:val="bg-BG"/>
        </w:rPr>
        <w:t>В бита се използва под формата на различни препарати (кислол - да не се бърка с белина!) за почистване, разтваряне на котлен камък и цимент и др.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  <w:drawing>
          <wp:inline distT="0" distB="0" distL="0" distR="0">
            <wp:extent cx="2437130" cy="3263900"/>
            <wp:effectExtent l="0" t="0" r="0" b="0"/>
            <wp:docPr id="4" name="Picture 10" descr="Hydrochloric acid 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10" descr="Hydrochloric acid 0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0" t="0" r="-155" b="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7130" cy="326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type w:val="nextPage"/>
      <w:pgSz w:w="12240" w:h="15840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mbria">
    <w:charset w:val="01"/>
    <w:family w:val="roman"/>
    <w:pitch w:val="variable"/>
  </w:font>
  <w:font w:name="Times New Roman CYR">
    <w:charset w:val="01"/>
    <w:family w:val="roman"/>
    <w:pitch w:val="variable"/>
  </w:font>
  <w:font w:name="Arial CYR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20"/>
  <w:compat/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02f6e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basedOn w:val="DefaultParagraphFont"/>
    <w:uiPriority w:val="99"/>
    <w:unhideWhenUsed/>
    <w:rsid w:val="00f377b2"/>
    <w:rPr>
      <w:color w:val="0000FF" w:themeColor="hyperlink"/>
      <w:u w:val="single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391fdc"/>
    <w:rPr>
      <w:rFonts w:ascii="Tahoma" w:hAnsi="Tahoma" w:cs="Tahoma"/>
      <w:sz w:val="16"/>
      <w:szCs w:val="16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91fd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bg.wikipedia.org/wiki/&#1056;&#1072;&#1079;&#1090;&#1074;&#1086;&#1088;" TargetMode="External"/><Relationship Id="rId3" Type="http://schemas.openxmlformats.org/officeDocument/2006/relationships/hyperlink" Target="http://bg.wikipedia.org/wiki/&#1061;&#1083;&#1086;&#1088;&#1086;&#1074;&#1086;&#1076;&#1086;&#1088;&#1086;&#1076;" TargetMode="External"/><Relationship Id="rId4" Type="http://schemas.openxmlformats.org/officeDocument/2006/relationships/hyperlink" Target="http://bg.wikipedia.org/wiki/&#1061;&#1083;&#1086;&#1088;&#1086;&#1074;&#1086;&#1076;&#1086;&#1088;&#1086;&#1076;" TargetMode="Externa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Application>LibreOffice/6.3.4.2.0$Linux_X86_64 LibreOffice_project/30$Build-2</Application>
  <Pages>2</Pages>
  <Words>586</Words>
  <Characters>3504</Characters>
  <CharactersWithSpaces>4090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2015-05-18T11:48:00Z</dcterms:created>
  <dc:creator>Nadeto</dc:creator>
  <dc:description/>
  <dc:language>en-US</dc:language>
  <cp:lastModifiedBy>Nadeto</cp:lastModifiedBy>
  <dcterms:modified xsi:type="dcterms:W3CDTF">2015-11-26T18:19:00Z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